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0"/>
      </w:pPr>
    </w:p>
    <w:p>
      <w:pPr>
        <w:spacing w:after="200"/>
        <w:jc w:val="center"/>
      </w:pPr>
      <w:r>
        <w:rPr>
          <w:rFonts w:ascii="Arial" w:eastAsia="Microsoft JhengHei" w:hAnsi="Arial"/>
          <w:b/>
          <w:bCs/>
          <w:color w:val="8A6D1F"/>
          <w:sz w:val="40"/>
          <w:szCs w:val="40"/>
        </w:rPr>
        <w:t xml:space="preserve">浚峰服務有限公司</w:t>
      </w:r>
    </w:p>
    <w:p>
      <w:pPr>
        <w:spacing w:after="120"/>
        <w:jc w:val="center"/>
      </w:pPr>
      <w:r>
        <w:rPr>
          <w:rFonts w:ascii="Arial" w:eastAsia="Microsoft JhengHei" w:hAnsi="Arial"/>
          <w:b/>
          <w:bCs/>
          <w:sz w:val="64"/>
          <w:szCs w:val="64"/>
        </w:rPr>
        <w:t xml:space="preserve">車隊出勤守則</w:t>
      </w:r>
    </w:p>
    <w:p>
      <w:pPr>
        <w:spacing w:after="800"/>
        <w:jc w:val="center"/>
      </w:pPr>
      <w:r>
        <w:rPr>
          <w:rFonts w:ascii="Arial" w:eastAsia="Microsoft JhengHei" w:hAnsi="Arial"/>
          <w:color w:val="555555"/>
          <w:sz w:val="28"/>
          <w:szCs w:val="28"/>
        </w:rPr>
        <w:t xml:space="preserve">員工指引 · 內部天書</w:t>
      </w:r>
    </w:p>
    <w:p>
      <w:pPr>
        <w:spacing w:after="60"/>
        <w:jc w:val="center"/>
      </w:pPr>
      <w:r>
        <w:rPr>
          <w:rFonts w:ascii="Arial" w:eastAsia="Microsoft JhengHei" w:hAnsi="Arial"/>
          <w:sz w:val="22"/>
          <w:szCs w:val="22"/>
        </w:rPr>
        <w:t xml:space="preserve">版本 1.0</w:t>
      </w:r>
    </w:p>
    <w:p>
      <w:pPr>
        <w:spacing w:after="60"/>
        <w:jc w:val="center"/>
      </w:pPr>
      <w:r>
        <w:rPr>
          <w:rFonts w:ascii="Arial" w:eastAsia="Microsoft JhengHei" w:hAnsi="Arial"/>
          <w:sz w:val="22"/>
          <w:szCs w:val="22"/>
        </w:rPr>
        <w:t xml:space="preserve">生效日期：2026 年 10 月 1 日</w:t>
      </w:r>
    </w:p>
    <w:p>
      <w:pPr>
        <w:spacing w:after="60"/>
        <w:jc w:val="center"/>
      </w:pPr>
      <w:r>
        <w:rPr>
          <w:rFonts w:ascii="Arial" w:eastAsia="Microsoft JhengHei" w:hAnsi="Arial"/>
          <w:sz w:val="22"/>
          <w:szCs w:val="22"/>
        </w:rPr>
        <w:t xml:space="preserve">審核：車隊主管　　批准：董事總經理</w:t>
      </w:r>
    </w:p>
    <w:p>
      <w:pPr>
        <w:spacing w:after="600"/>
      </w:pPr>
    </w:p>
    <w:p>
      <w:pPr>
        <w:pBdr>
          <w:top w:val="single" w:color="8A6D1F" w:sz="6" w:space="6"/>
          <w:bottom w:val="single" w:color="8A6D1F" w:sz="6" w:space="6"/>
        </w:pBdr>
        <w:spacing w:after="100"/>
        <w:jc w:val="center"/>
      </w:pPr>
      <w:r>
        <w:rPr>
          <w:rFonts w:ascii="Arial" w:eastAsia="Microsoft JhengHei" w:hAnsi="Arial"/>
          <w:b/>
          <w:bCs/>
          <w:color w:val="8A3A00"/>
          <w:sz w:val="22"/>
          <w:szCs w:val="22"/>
        </w:rPr>
        <w:t xml:space="preserve">內部文件 — 僅供浚峰服務有限公司同事使用，不得外傳</w:t>
      </w:r>
    </w:p>
    <w:p>
      <w:pPr>
        <w:jc w:val="center"/>
      </w:pPr>
      <w:r>
        <w:rPr>
          <w:rFonts w:ascii="Arial" w:eastAsia="Microsoft JhengHei" w:hAnsi="Arial"/>
          <w:color w:val="555555"/>
          <w:sz w:val="20"/>
          <w:szCs w:val="20"/>
        </w:rPr>
        <w:t xml:space="preserve">適用於所有車隊同事：司機、車長、調度、維修及行政人員</w:t>
      </w:r>
    </w:p>
    <w:p>
      <w:r>
        <w:br w:type="page"/>
      </w:r>
    </w:p>
    <w:p>
      <w:pPr>
        <w:pStyle w:val="Heading1"/>
        <w:spacing w:after="200" w:before="360"/>
      </w:pPr>
      <w:r>
        <w:rPr>
          <w:rFonts w:ascii="Arial" w:eastAsia="Microsoft JhengHei" w:hAnsi="Arial"/>
          <w:b/>
          <w:bCs/>
          <w:color w:val="8A6D1F"/>
          <w:sz w:val="30"/>
          <w:szCs w:val="30"/>
        </w:rPr>
        <w:t xml:space="preserve">第一章　目的與適用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1.1　目的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政府及大型機構合約最看重車隊出勤率。出勤率唔單止影響合約付款，仲直接影響公司信譽同日後投標。呢份守則的目的，係令每一位同事都清楚自己點樣做，先可以維持高出勤率、避免合約扣款。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1.2　適用範圍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本守則適用於公司全部營運車輛，包括市政環衛、固廢收集、基建工程及商用物流車隊，以及所有相關人員：司機、車長、調度員、維修人員及行政管理人員。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1.3　三大原則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車要出得勤：任何調動、保養、人手安排，都以維持出勤為先。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問題早報：故障、文件過期、人手短缺，即日上報，唔好等到出事。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紀錄齊全：每一件事都要有紀錄，政府審計查到、投標用得着。</w:t>
      </w:r>
    </w:p>
    <w:p>
      <w:pPr>
        <w:pStyle w:val="Heading1"/>
        <w:spacing w:after="200" w:before="360"/>
      </w:pPr>
      <w:r>
        <w:rPr>
          <w:rFonts w:ascii="Arial" w:eastAsia="Microsoft JhengHei" w:hAnsi="Arial"/>
          <w:b/>
          <w:bCs/>
          <w:color w:val="8A6D1F"/>
          <w:sz w:val="30"/>
          <w:szCs w:val="30"/>
        </w:rPr>
        <w:t xml:space="preserve">第二章　出勤率定義與計法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2.1　咩叫「出勤」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車輛按派工表，喺指定時間到達指定崗位，並完成當日服務工作，先算一個「出勤車日」。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2.2　計法</w:t>
      </w:r>
    </w:p>
    <w:p>
      <w:pPr>
        <w:shd w:fill="F3E9D2" w:val="clear"/>
        <w:spacing w:after="200" w:before="120"/>
        <w:jc w:val="center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出勤率 = 實際出勤車日數 ÷ 應出勤車日數 × 100%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2.3　應出勤日應出勤日嘅扣減（須經車隊主管確認）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合約訂明可以扣減嘅計劃維修日。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政府宣佈停工（八號風球、黑色暴雨警告等）。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合約訂明嘅法定假日。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2.4　以下情況算「停駛」，會計落出勤率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機械故障，未喺當日修復復工。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交通意外令車輛損毀，未能出勤。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年檢、保險或牌照過期，車輛唔可以合法出車。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未經批准缺席或遲到，令當日冇車提供服務。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保養超期仍未完成。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2.5　以下情況唔算停駛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司機病假或缺席，但調度已即日安排替更，車照出勤。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政府或客人方原因取消服務。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已申請並獲車隊主管批准嘅計劃維修。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2.6　計算示例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一架車 10 月應出勤 26 日；其中 1 日計劃保養已獲批、1 日八號風球停工，即應出勤 24 日。實際出勤 23 日（1 日波箱故障當日未能修復）。出勤率 = 23 ÷ 24 = 95.8%。</w:t>
      </w:r>
    </w:p>
    <w:p>
      <w:pPr>
        <w:pStyle w:val="Heading1"/>
        <w:spacing w:after="200" w:before="360"/>
      </w:pPr>
      <w:r>
        <w:rPr>
          <w:rFonts w:ascii="Arial" w:eastAsia="Microsoft JhengHei" w:hAnsi="Arial"/>
          <w:b/>
          <w:bCs/>
          <w:color w:val="8A6D1F"/>
          <w:sz w:val="30"/>
          <w:szCs w:val="30"/>
        </w:rPr>
        <w:t xml:space="preserve">第三章　出勤目標與內部紅線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3.1　合約要求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政府合約一般要求車隊整體出勤率 95% 至 98%，部分新合約要求更高。睇標書時必須確認清楚要求數字同計法。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3.2　內部紅線（比合約更嚴）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車隊整體每月出勤率唔得低過 98%。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單車每月出勤率唔得低過 95%。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連續兩個月低過紅線，車隊主管要提交書面檢討。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3.3　預警機制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橙色預警：月內累計出勤率跌到 97.5%，車隊主管即日召開檢討。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紅色預警：月內累計出勤率跌到 96%，即時啟動後備車全面核查，並向管理層匯報。</w:t>
      </w:r>
    </w:p>
    <w:p>
      <w:pPr>
        <w:pStyle w:val="Heading1"/>
        <w:spacing w:after="200" w:before="360"/>
      </w:pPr>
      <w:r>
        <w:rPr>
          <w:rFonts w:ascii="Arial" w:eastAsia="Microsoft JhengHei" w:hAnsi="Arial"/>
          <w:b/>
          <w:bCs/>
          <w:color w:val="8A6D1F"/>
          <w:sz w:val="30"/>
          <w:szCs w:val="30"/>
        </w:rPr>
        <w:t xml:space="preserve">第四章　後備車制度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4.1　配置比例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每 10 架營運車配 1 架後備車；不足 10 架嘅車隊都至少要有 1 架後備。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4.2　調配權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後備車由車隊主管統一調配，調度員負責執行同通知司機。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4.3　反應時限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接報後 30 分鐘內，決定調邊架後備車。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市區崗位：2 小時內到位；偏遠地區：4 小時內到位。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4.4　後備車日常狀態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油量或電量唔少於 80%。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車身清潔，可以隨時出車見客。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牌簿、保險、檢修證明書等文件齊全。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唔得挪用作倉庫、儲物或私人用途。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4.5　調配紀錄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每一次調用後備車，都要填寫後備車調配紀錄（附件 C），月底交車隊主管核對。</w:t>
      </w:r>
    </w:p>
    <w:p>
      <w:pPr>
        <w:pStyle w:val="Heading1"/>
        <w:spacing w:after="200" w:before="360"/>
      </w:pPr>
      <w:r>
        <w:rPr>
          <w:rFonts w:ascii="Arial" w:eastAsia="Microsoft JhengHei" w:hAnsi="Arial"/>
          <w:b/>
          <w:bCs/>
          <w:color w:val="8A6D1F"/>
          <w:sz w:val="30"/>
          <w:szCs w:val="30"/>
        </w:rPr>
        <w:t xml:space="preserve">第五章　預防保養時間表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5.1　保養週期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5126"/>
        <w:gridCol w:w="2100"/>
      </w:tblGrid>
      <w:tr>
        <w:trPr>
          <w:tblHeader/>
        </w:trP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3E9D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/>
                <w:bCs/>
                <w:sz w:val="20"/>
                <w:szCs w:val="20"/>
              </w:rPr>
              <w:t xml:space="preserve">週期</w:t>
            </w:r>
          </w:p>
        </w:tc>
        <w:tc>
          <w:tcPr>
            <w:tcW w:type="dxa" w:w="51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3E9D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/>
                <w:bCs/>
                <w:sz w:val="20"/>
                <w:szCs w:val="20"/>
              </w:rPr>
              <w:t xml:space="preserve">項目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3E9D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/>
                <w:bCs/>
                <w:sz w:val="20"/>
                <w:szCs w:val="20"/>
              </w:rPr>
              <w:t xml:space="preserve">負責人</w:t>
            </w:r>
          </w:p>
        </w:tc>
      </w:tr>
      <w:t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每日</w:t>
            </w:r>
          </w:p>
        </w:tc>
        <w:tc>
          <w:tcPr>
            <w:tcW w:type="dxa" w:w="51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司機出車前檢查（見第八章清單）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司機</w:t>
            </w:r>
          </w:p>
        </w:tc>
      </w:tr>
      <w:t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每週</w:t>
            </w:r>
          </w:p>
        </w:tc>
        <w:tc>
          <w:tcPr>
            <w:tcW w:type="dxa" w:w="51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水電油、胎壓、燈號、警示系統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車長</w:t>
            </w:r>
          </w:p>
        </w:tc>
      </w:tr>
      <w:t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每月</w:t>
            </w:r>
          </w:p>
        </w:tc>
        <w:tc>
          <w:tcPr>
            <w:tcW w:type="dxa" w:w="51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返廠檢查：煞車、液壓、掃把／噴水等作業裝置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維修組</w:t>
            </w:r>
          </w:p>
        </w:tc>
      </w:tr>
      <w:t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每 5,000 公里
或按原廠指引</w:t>
            </w:r>
          </w:p>
        </w:tc>
        <w:tc>
          <w:tcPr>
            <w:tcW w:type="dxa" w:w="51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例行保養：機油、濾芯、底盤檢查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維修組</w:t>
            </w:r>
          </w:p>
        </w:tc>
      </w:tr>
      <w:t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每季</w:t>
            </w:r>
          </w:p>
        </w:tc>
        <w:tc>
          <w:tcPr>
            <w:tcW w:type="dxa" w:w="51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煞車系統、液壓系統深度檢查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維修組</w:t>
            </w:r>
          </w:p>
        </w:tc>
      </w:tr>
      <w:t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每年</w:t>
            </w:r>
          </w:p>
        </w:tc>
        <w:tc>
          <w:tcPr>
            <w:tcW w:type="dxa" w:w="51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運輸署年檢、年度大保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行政＋維修組</w:t>
            </w:r>
          </w:p>
        </w:tc>
      </w:tr>
    </w:tbl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5.2　排期原則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錯開排期：同一日停廠嘅車輛，唔得超過車隊總數 10%。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長假期（農曆年、聖誕等）之前，完成所有到期保養。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保養到期唔得延誤超過 3 個工作日。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所有保養必須入紀錄系統，冇紀錄等於冇做。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5.3　保養紀錄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每次保養紀錄：日期、里數、項目、配件、負責人。呢啲紀錄係投標時證明公司保養能力嘅重要材料。</w:t>
      </w:r>
    </w:p>
    <w:p>
      <w:pPr>
        <w:pStyle w:val="Heading1"/>
        <w:spacing w:after="200" w:before="360"/>
      </w:pPr>
      <w:r>
        <w:rPr>
          <w:rFonts w:ascii="Arial" w:eastAsia="Microsoft JhengHei" w:hAnsi="Arial"/>
          <w:b/>
          <w:bCs/>
          <w:color w:val="8A6D1F"/>
          <w:sz w:val="30"/>
          <w:szCs w:val="30"/>
        </w:rPr>
        <w:t xml:space="preserve">第六章　維修反應程序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6.1　路面故障上報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司機發現故障，即時用電話或 WhatsApp 通知調度，講明：地點、症狀、可唔可以繼續行。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6.2　調度評級（15 分鐘內）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A 級：可以自行返廠。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B 級：唔可以行，需要拖車。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C 級：交通意外或有安全風險，即時處理。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6.3　反應時限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A 級：當日安排維修。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B 級：1 小時內拖車到位。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C 級：即時救援，並通知車隊主管。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6.4　維修目標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小修：4 小時內復工。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大修：48 小時內安排後備車頂上，唔可以令崗位斷服務。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6.5　外判維修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只可以用認可維修商名單內嘅維修商。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48 小時仍未復工，要升級通知車隊主管。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維修商表現每季評核一次，不合格嘅除名。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6.6　意外程序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確保人員安全 → 需要時報警 → 通知調度及車隊主管 → 影相取證 → 通知保險 → 24 小時內提交意外報告。</w:t>
      </w:r>
    </w:p>
    <w:p>
      <w:pPr>
        <w:pStyle w:val="Heading1"/>
        <w:spacing w:after="200" w:before="360"/>
      </w:pPr>
      <w:r>
        <w:rPr>
          <w:rFonts w:ascii="Arial" w:eastAsia="Microsoft JhengHei" w:hAnsi="Arial"/>
          <w:b/>
          <w:bCs/>
          <w:color w:val="8A6D1F"/>
          <w:sz w:val="30"/>
          <w:szCs w:val="30"/>
        </w:rPr>
        <w:t xml:space="preserve">第七章　停駛申請與紀錄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7.1　非計劃停駛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即日入紀錄：車牌、時間、原因、負責人、預計復工時間。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7.2　計劃停駛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保養、年檢等計劃停駛，要提前 3 個工作日申請，車隊主管批准先至有效。未批而停駛，照計落出勤率。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7.3　復駛檢查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維修完工後，由車長試車確認，簽名後先可以重新派工。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7.4　紀錄保存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所有停駛及復駛紀錄保存 24 個月，政府審計或投標需要時可以隨時調出。</w:t>
      </w:r>
    </w:p>
    <w:p>
      <w:pPr>
        <w:pStyle w:val="Heading1"/>
        <w:spacing w:after="200" w:before="360"/>
      </w:pPr>
      <w:r>
        <w:rPr>
          <w:rFonts w:ascii="Arial" w:eastAsia="Microsoft JhengHei" w:hAnsi="Arial"/>
          <w:b/>
          <w:bCs/>
          <w:color w:val="8A6D1F"/>
          <w:sz w:val="30"/>
          <w:szCs w:val="30"/>
        </w:rPr>
        <w:t xml:space="preserve">第八章　司機每日檢查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8.1　出車前檢查（逐項剔，見附件 A）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外觀及車身清潔。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車牌清晰、無遮擋。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警示閃燈及指揮燈正常。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油量或電量充足。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水溫及機油正常。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胎壓及胎紋正常。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煞車及手煞正常。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所有燈號正常。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喇叭正常。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倒車感應／鏡頭正常。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液壓臂、掃把、噴水系統（按車型）操作正常。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公司名及政府標貼完好。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文件齊全：牌簿、保險、檢修證明書、派工表。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8.2　收車後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加油或充電，確保翌日可以出車。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清理垃圾箱及車廂。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填寫工作日誌。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eastAsia="Microsoft JhengHei" w:hAnsi="Arial"/>
          <w:sz w:val="22"/>
          <w:szCs w:val="22"/>
        </w:rPr>
        <w:t xml:space="preserve">發現異常即報調度，唔好留到第二日。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8.3　責任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發現問題唔上報，之後故障算漏檢責任，按第十章紀律程序處理。</w:t>
      </w:r>
    </w:p>
    <w:p>
      <w:pPr>
        <w:pStyle w:val="Heading1"/>
        <w:spacing w:after="200" w:before="360"/>
      </w:pPr>
      <w:r>
        <w:rPr>
          <w:rFonts w:ascii="Arial" w:eastAsia="Microsoft JhengHei" w:hAnsi="Arial"/>
          <w:b/>
          <w:bCs/>
          <w:color w:val="8A6D1F"/>
          <w:sz w:val="30"/>
          <w:szCs w:val="30"/>
        </w:rPr>
        <w:t xml:space="preserve">第九章　調度與人員安排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9.1　排班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排班表提前一星期公佈；任何調動要經車隊主管同意。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9.2　司機病假或缺席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調度即日安排替更，確保車照出勤。記住：司機問題唔算車輛停駛，但唔可以冇人手置之不理。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9.3　替更名單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每個崗位至少 2 名後備司機；替更名單每季更新一次。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9.4　工時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唔得安排司機連續超時，安全永遠排第一。</w:t>
      </w:r>
    </w:p>
    <w:p>
      <w:pPr>
        <w:pStyle w:val="Heading1"/>
        <w:spacing w:after="200" w:before="360"/>
      </w:pPr>
      <w:r>
        <w:rPr>
          <w:rFonts w:ascii="Arial" w:eastAsia="Microsoft JhengHei" w:hAnsi="Arial"/>
          <w:b/>
          <w:bCs/>
          <w:color w:val="8A6D1F"/>
          <w:sz w:val="30"/>
          <w:szCs w:val="30"/>
        </w:rPr>
        <w:t xml:space="preserve">第十章　罰則對應與內部責任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10.1　對照表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200"/>
        <w:gridCol w:w="3826"/>
      </w:tblGrid>
      <w:tr>
        <w:trPr>
          <w:tblHeader/>
        </w:trP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3E9D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/>
                <w:bCs/>
                <w:sz w:val="20"/>
                <w:szCs w:val="20"/>
              </w:rPr>
              <w:t xml:space="preserve">合約情況</w:t>
            </w:r>
          </w:p>
        </w:tc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3E9D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/>
                <w:bCs/>
                <w:sz w:val="20"/>
                <w:szCs w:val="20"/>
              </w:rPr>
              <w:t xml:space="preserve">內部責任</w:t>
            </w:r>
          </w:p>
        </w:tc>
        <w:tc>
          <w:tcPr>
            <w:tcW w:type="dxa" w:w="3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3E9D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/>
                <w:bCs/>
                <w:sz w:val="20"/>
                <w:szCs w:val="20"/>
              </w:rPr>
              <w:t xml:space="preserve">跟進行動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車隊出勤率低過合約要求</w:t>
            </w:r>
          </w:p>
        </w:tc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車隊主管</w:t>
            </w:r>
          </w:p>
        </w:tc>
        <w:tc>
          <w:tcPr>
            <w:tcW w:type="dxa" w:w="3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一星期內提交檢討報告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因保養延誤導致停駛</w:t>
            </w:r>
          </w:p>
        </w:tc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維修主管</w:t>
            </w:r>
          </w:p>
        </w:tc>
        <w:tc>
          <w:tcPr>
            <w:tcW w:type="dxa" w:w="3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調查保養紀錄，即時補做保養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因冇司機導致停駛</w:t>
            </w:r>
          </w:p>
        </w:tc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調度</w:t>
            </w:r>
          </w:p>
        </w:tc>
        <w:tc>
          <w:tcPr>
            <w:tcW w:type="dxa" w:w="3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檢討替更安排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因司機漏檢導致故障</w:t>
            </w:r>
          </w:p>
        </w:tc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當值司機</w:t>
            </w:r>
          </w:p>
        </w:tc>
        <w:tc>
          <w:tcPr>
            <w:tcW w:type="dxa" w:w="3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按紀律程序處理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年檢／保險／牌照過期</w:t>
            </w:r>
          </w:p>
        </w:tc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行政專責同事</w:t>
            </w:r>
          </w:p>
        </w:tc>
        <w:tc>
          <w:tcPr>
            <w:tcW w:type="dxa" w:w="3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即日補辦，提交報告</w:t>
            </w:r>
          </w:p>
        </w:tc>
      </w:tr>
    </w:tbl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10.2　內部紀律階梯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口頭警告 → 書面警告 → 停職調查。虛報紀錄、未經批准私自停駛等嚴重違規，即時停職調查。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10.3　檢討文化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每次合約扣款事件，都要開根因分析：係制度問題就改制度，係人為問題就跟紀律程序。重點係防止再發生，唔係淨係搵人負責。</w:t>
      </w:r>
    </w:p>
    <w:p>
      <w:pPr>
        <w:pStyle w:val="Heading1"/>
        <w:spacing w:after="200" w:before="360"/>
      </w:pPr>
      <w:r>
        <w:rPr>
          <w:rFonts w:ascii="Arial" w:eastAsia="Microsoft JhengHei" w:hAnsi="Arial"/>
          <w:b/>
          <w:bCs/>
          <w:color w:val="8A6D1F"/>
          <w:sz w:val="30"/>
          <w:szCs w:val="30"/>
        </w:rPr>
        <w:t xml:space="preserve">第十一章　惡劣天氣及突發事件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11.1　八號風球／黑雨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按政府宣佈停工；恢復上班前，車長檢查車輛及場站，確保安全先出車。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11.2　突發事件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塌樹、水浸、疫情、大型活動支援等突發情況，由車隊主管啟動應變小組統一指揮，優先保障政府合約崗位。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11.3　後備車優先次序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突發期間，後備車優先調配俾政府合約崗位使用。</w:t>
      </w:r>
    </w:p>
    <w:p>
      <w:pPr>
        <w:pStyle w:val="Heading1"/>
        <w:spacing w:after="200" w:before="360"/>
      </w:pPr>
      <w:r>
        <w:rPr>
          <w:rFonts w:ascii="Arial" w:eastAsia="Microsoft JhengHei" w:hAnsi="Arial"/>
          <w:b/>
          <w:bCs/>
          <w:color w:val="8A6D1F"/>
          <w:sz w:val="30"/>
          <w:szCs w:val="30"/>
        </w:rPr>
        <w:t xml:space="preserve">第十二章　紀錄與報告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12.1　每日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調度員填寫當日出勤紀錄。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12.2　每週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逢星期一，出勤週報交車隊主管。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12.3　每月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月報包括：出勤率、停駛原因分佈、保養完成率、後備車使用情況。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12.4　投標用途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所有紀錄完整保存，投標時作為公司往績證明。政府採購人員查問出勤表現，就靠呢啲紀錄答。</w:t>
      </w:r>
    </w:p>
    <w:p>
      <w:pPr>
        <w:pStyle w:val="Heading1"/>
        <w:spacing w:after="200" w:before="360"/>
      </w:pPr>
      <w:r>
        <w:rPr>
          <w:rFonts w:ascii="Arial" w:eastAsia="Microsoft JhengHei" w:hAnsi="Arial"/>
          <w:b/>
          <w:bCs/>
          <w:color w:val="8A6D1F"/>
          <w:sz w:val="30"/>
          <w:szCs w:val="30"/>
        </w:rPr>
        <w:t xml:space="preserve">第十三章　守則檢討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13.1　檢討週期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本守則每年檢討一次；新合約要求有改變時，即時更新。</w:t>
      </w:r>
    </w:p>
    <w:p>
      <w:pPr>
        <w:pStyle w:val="Heading2"/>
        <w:spacing w:after="140" w:before="240"/>
      </w:pPr>
      <w:r>
        <w:rPr>
          <w:rFonts w:ascii="Arial" w:eastAsia="Microsoft JhengHei" w:hAnsi="Arial"/>
          <w:b/>
          <w:bCs/>
          <w:sz w:val="24"/>
          <w:szCs w:val="24"/>
        </w:rPr>
        <w:t xml:space="preserve">13.2　更新程序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更新由車隊主管提出，管理層批准，然後向全體同事簡介新版內容。</w:t>
      </w:r>
    </w:p>
    <w:p>
      <w:r>
        <w:br w:type="page"/>
      </w:r>
    </w:p>
    <w:p>
      <w:pPr>
        <w:pStyle w:val="Heading1"/>
        <w:spacing w:after="200" w:before="360"/>
      </w:pPr>
      <w:r>
        <w:rPr>
          <w:rFonts w:ascii="Arial" w:eastAsia="Microsoft JhengHei" w:hAnsi="Arial"/>
          <w:b/>
          <w:bCs/>
          <w:color w:val="8A6D1F"/>
          <w:sz w:val="30"/>
          <w:szCs w:val="30"/>
        </w:rPr>
        <w:t xml:space="preserve">附件 A　出車前檢查表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司機每日出車前逐項剔；有異常先唔好出車，即報調度。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4526"/>
        <w:gridCol w:w="1800"/>
        <w:gridCol w:w="1400"/>
      </w:tblGrid>
      <w:tr>
        <w:trPr>
          <w:tblHeader/>
        </w:trP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3E9D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/>
                <w:bCs/>
                <w:sz w:val="20"/>
                <w:szCs w:val="20"/>
              </w:rPr>
              <w:t xml:space="preserve">項目</w:t>
            </w:r>
          </w:p>
        </w:tc>
        <w:tc>
          <w:tcPr>
            <w:tcW w:type="dxa" w:w="45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3E9D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/>
                <w:bCs/>
                <w:sz w:val="20"/>
                <w:szCs w:val="20"/>
              </w:rPr>
              <w:t xml:space="preserve">檢查內容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3E9D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/>
                <w:bCs/>
                <w:sz w:val="20"/>
                <w:szCs w:val="20"/>
              </w:rPr>
              <w:t xml:space="preserve">結果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3E9D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/>
                <w:bCs/>
                <w:sz w:val="20"/>
                <w:szCs w:val="20"/>
              </w:rPr>
              <w:t xml:space="preserve">備註</w:t>
            </w:r>
          </w:p>
        </w:tc>
      </w:tr>
      <w:t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外觀</w:t>
            </w:r>
          </w:p>
        </w:tc>
        <w:tc>
          <w:tcPr>
            <w:tcW w:type="dxa" w:w="45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車身清潔、無新損毀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□正常 □異常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車牌</w:t>
            </w:r>
          </w:p>
        </w:tc>
        <w:tc>
          <w:tcPr>
            <w:tcW w:type="dxa" w:w="45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前後車牌清晰、無遮擋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□正常 □異常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警示燈</w:t>
            </w:r>
          </w:p>
        </w:tc>
        <w:tc>
          <w:tcPr>
            <w:tcW w:type="dxa" w:w="45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警示閃燈、指揮燈運作正常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□正常 □異常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燃油／電量</w:t>
            </w:r>
          </w:p>
        </w:tc>
        <w:tc>
          <w:tcPr>
            <w:tcW w:type="dxa" w:w="45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充足完成當日工作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□正常 □異常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水溫機油</w:t>
            </w:r>
          </w:p>
        </w:tc>
        <w:tc>
          <w:tcPr>
            <w:tcW w:type="dxa" w:w="45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讀數正常、無洩漏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□正常 □異常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輪胎</w:t>
            </w:r>
          </w:p>
        </w:tc>
        <w:tc>
          <w:tcPr>
            <w:tcW w:type="dxa" w:w="45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胎壓、胎紋正常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□正常 □異常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煞車</w:t>
            </w:r>
          </w:p>
        </w:tc>
        <w:tc>
          <w:tcPr>
            <w:tcW w:type="dxa" w:w="45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腳煞、手煞正常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□正常 □異常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燈號</w:t>
            </w:r>
          </w:p>
        </w:tc>
        <w:tc>
          <w:tcPr>
            <w:tcW w:type="dxa" w:w="45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大燈、轉向燈、剎車燈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□正常 □異常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喇叭</w:t>
            </w:r>
          </w:p>
        </w:tc>
        <w:tc>
          <w:tcPr>
            <w:tcW w:type="dxa" w:w="45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運作正常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□正常 □異常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倒車輔助</w:t>
            </w:r>
          </w:p>
        </w:tc>
        <w:tc>
          <w:tcPr>
            <w:tcW w:type="dxa" w:w="45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感應器／鏡頭正常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□正常 □異常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作業裝置</w:t>
            </w:r>
          </w:p>
        </w:tc>
        <w:tc>
          <w:tcPr>
            <w:tcW w:type="dxa" w:w="45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液壓臂／掃把／噴水（按車型）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□正常 □異常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標貼</w:t>
            </w:r>
          </w:p>
        </w:tc>
        <w:tc>
          <w:tcPr>
            <w:tcW w:type="dxa" w:w="45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公司名及政府標貼完好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□正常 □異常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文件</w:t>
            </w:r>
          </w:p>
        </w:tc>
        <w:tc>
          <w:tcPr>
            <w:tcW w:type="dxa" w:w="45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牌簿、保險、檢修證明書、派工表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□正常 □異常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00"/>
      </w:pP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司機簽名：＿＿＿＿＿＿＿＿　　日期：＿＿＿＿＿＿＿＿</w:t>
      </w:r>
    </w:p>
    <w:p>
      <w:r>
        <w:br w:type="page"/>
      </w:r>
    </w:p>
    <w:p>
      <w:pPr>
        <w:pStyle w:val="Heading1"/>
        <w:spacing w:after="200" w:before="360"/>
      </w:pPr>
      <w:r>
        <w:rPr>
          <w:rFonts w:ascii="Arial" w:eastAsia="Microsoft JhengHei" w:hAnsi="Arial"/>
          <w:b/>
          <w:bCs/>
          <w:color w:val="8A6D1F"/>
          <w:sz w:val="30"/>
          <w:szCs w:val="30"/>
        </w:rPr>
        <w:t xml:space="preserve">附件 B　每週保養檢查表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車長每週檢查一次，星期五前交調度存檔。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4526"/>
        <w:gridCol w:w="1800"/>
        <w:gridCol w:w="900"/>
      </w:tblGrid>
      <w:tr>
        <w:trPr>
          <w:tblHeader/>
        </w:trP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3E9D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/>
                <w:bCs/>
                <w:sz w:val="20"/>
                <w:szCs w:val="20"/>
              </w:rPr>
              <w:t xml:space="preserve">檢查項目</w:t>
            </w:r>
          </w:p>
        </w:tc>
        <w:tc>
          <w:tcPr>
            <w:tcW w:type="dxa" w:w="45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3E9D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/>
                <w:bCs/>
                <w:sz w:val="20"/>
                <w:szCs w:val="20"/>
              </w:rPr>
              <w:t xml:space="preserve">內容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3E9D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/>
                <w:bCs/>
                <w:sz w:val="20"/>
                <w:szCs w:val="20"/>
              </w:rPr>
              <w:t xml:space="preserve">結果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3E9D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/>
                <w:bCs/>
                <w:sz w:val="20"/>
                <w:szCs w:val="20"/>
              </w:rPr>
              <w:t xml:space="preserve">備註</w:t>
            </w:r>
          </w:p>
        </w:tc>
      </w:tr>
      <w:t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水電油</w:t>
            </w:r>
          </w:p>
        </w:tc>
        <w:tc>
          <w:tcPr>
            <w:tcW w:type="dxa" w:w="45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水箱、電池、燃油／電量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□正常 □異常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胎壓</w:t>
            </w:r>
          </w:p>
        </w:tc>
        <w:tc>
          <w:tcPr>
            <w:tcW w:type="dxa" w:w="45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四輪及後備胎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□正常 □異常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燈號</w:t>
            </w:r>
          </w:p>
        </w:tc>
        <w:tc>
          <w:tcPr>
            <w:tcW w:type="dxa" w:w="45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全車燈號逐個測試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□正常 □異常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警示系統</w:t>
            </w:r>
          </w:p>
        </w:tc>
        <w:tc>
          <w:tcPr>
            <w:tcW w:type="dxa" w:w="45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閃燈、警號、倒車提示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□正常 □異常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液壓</w:t>
            </w:r>
          </w:p>
        </w:tc>
        <w:tc>
          <w:tcPr>
            <w:tcW w:type="dxa" w:w="45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油位、喉管有無滲漏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□正常 □異常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作業裝置</w:t>
            </w:r>
          </w:p>
        </w:tc>
        <w:tc>
          <w:tcPr>
            <w:tcW w:type="dxa" w:w="45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掃把磨損、噴嘴堵塞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>□正常 □異常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00"/>
      </w:pP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車長簽名：＿＿＿＿＿＿＿＿　　日期：＿＿＿＿＿＿＿＿</w:t>
      </w:r>
    </w:p>
    <w:p>
      <w:r>
        <w:br w:type="page"/>
      </w:r>
    </w:p>
    <w:p>
      <w:pPr>
        <w:pStyle w:val="Heading1"/>
        <w:spacing w:after="200" w:before="360"/>
      </w:pPr>
      <w:r>
        <w:rPr>
          <w:rFonts w:ascii="Arial" w:eastAsia="Microsoft JhengHei" w:hAnsi="Arial"/>
          <w:b/>
          <w:bCs/>
          <w:color w:val="8A6D1F"/>
          <w:sz w:val="30"/>
          <w:szCs w:val="30"/>
        </w:rPr>
        <w:t xml:space="preserve">附件 C　後備車調配紀錄表</w:t>
      </w:r>
    </w:p>
    <w:p>
      <w:pPr>
        <w:spacing w:after="120" w:line="300"/>
      </w:pPr>
      <w:r>
        <w:rPr>
          <w:rFonts w:ascii="Arial" w:eastAsia="Microsoft JhengHei" w:hAnsi="Arial"/>
          <w:sz w:val="22"/>
          <w:szCs w:val="22"/>
        </w:rPr>
        <w:t xml:space="preserve">每次調用後備車即時填寫，月底交車隊主管核對。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1600"/>
        <w:gridCol w:w="1600"/>
        <w:gridCol w:w="2100"/>
        <w:gridCol w:w="1300"/>
        <w:gridCol w:w="1126"/>
      </w:tblGrid>
      <w:tr>
        <w:trPr>
          <w:tblHeader/>
        </w:trP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3E9D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/>
                <w:bCs/>
                <w:sz w:val="20"/>
                <w:szCs w:val="20"/>
              </w:rPr>
              <w:t xml:space="preserve">日期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3E9D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/>
                <w:bCs/>
                <w:sz w:val="20"/>
                <w:szCs w:val="20"/>
              </w:rPr>
              <w:t xml:space="preserve">後備車牌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3E9D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/>
                <w:bCs/>
                <w:sz w:val="20"/>
                <w:szCs w:val="20"/>
              </w:rPr>
              <w:t xml:space="preserve">頂替車牌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3E9D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/>
                <w:bCs/>
                <w:sz w:val="20"/>
                <w:szCs w:val="20"/>
              </w:rPr>
              <w:t xml:space="preserve">原因</w:t>
            </w:r>
          </w:p>
        </w:tc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3E9D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/>
                <w:bCs/>
                <w:sz w:val="20"/>
                <w:szCs w:val="20"/>
              </w:rPr>
              <w:t xml:space="preserve">調配人</w:t>
            </w:r>
          </w:p>
        </w:tc>
        <w:tc>
          <w:tcPr>
            <w:tcW w:type="dxa" w:w="11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3E9D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/>
                <w:bCs/>
                <w:sz w:val="20"/>
                <w:szCs w:val="20"/>
              </w:rPr>
              <w:t xml:space="preserve">到位時間</w:t>
            </w:r>
          </w:p>
        </w:tc>
      </w:tr>
      <w:t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  <w:jc w:val="left"/>
            </w:pPr>
            <w:r>
              <w:rPr>
                <w:rFonts w:ascii="Arial" w:eastAsia="Microsoft JhengHei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400"/>
      </w:pPr>
    </w:p>
    <w:p>
      <w:pPr>
        <w:pBdr>
          <w:top w:val="single" w:color="8A6D1F" w:sz="6" w:space="6"/>
        </w:pBdr>
        <w:spacing w:before="200"/>
      </w:pPr>
      <w:r>
        <w:rPr>
          <w:rFonts w:ascii="Arial" w:eastAsia="Microsoft JhengHei" w:hAnsi="Arial"/>
          <w:color w:val="777777"/>
          <w:sz w:val="18"/>
          <w:szCs w:val="18"/>
        </w:rPr>
        <w:t xml:space="preserve">浚峰服務有限公司 · 車隊出勤守則（員工指引） · 版本 1.0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eastAsia="Microsoft JhengHei" w:hAnsi="Arial"/>
        <w:color w:val="888888"/>
        <w:sz w:val="16"/>
        <w:szCs w:val="16"/>
      </w:rPr>
      <w:t xml:space="preserve">第 </w:t>
    </w:r>
    <w:r>
      <w:rPr>
        <w:rFonts w:ascii="Arial" w:eastAsia="Microsoft JhengHei" w:hAnsi="Arial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eastAsia="Microsoft JhengHei" w:hAnsi="Arial"/>
        <w:color w:val="888888"/>
        <w:sz w:val="16"/>
        <w:szCs w:val="16"/>
      </w:rPr>
      <w:t xml:space="preserve"> 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6"/>
      </w:tabs>
    </w:pPr>
    <w:r>
      <w:rPr>
        <w:rFonts w:ascii="Arial" w:eastAsia="Microsoft JhengHei" w:hAnsi="Arial"/>
        <w:color w:val="888888"/>
        <w:sz w:val="16"/>
        <w:szCs w:val="16"/>
      </w:rPr>
      <w:t xml:space="preserve">浚峰服務有限公司</w:t>
    </w:r>
    <w:r>
      <w:rPr>
        <w:rFonts w:ascii="Arial" w:eastAsia="Microsoft JhengHei" w:hAnsi="Arial"/>
        <w:color w:val="888888"/>
        <w:sz w:val="16"/>
        <w:szCs w:val="16"/>
      </w:rPr>
      <w:t xml:space="preserve">	車隊出勤守則 · 內部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Arial" w:eastAsia="Microsoft JhengHei" w:hAnsi="Arial"/>
      <w:b/>
      <w:bCs/>
      <w:color w:val="8A6D1F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40" w:before="240"/>
      <w:outlineLvl w:val="1"/>
    </w:pPr>
    <w:rPr>
      <w:rFonts w:ascii="Arial" w:eastAsia="Microsoft JhengHei" w:hAnsi="Arial"/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2026-09-30T08:06:27.997Z</dcterms:created>
  <dcterms:modified xsi:type="dcterms:W3CDTF">2026-09-30T08:06:27.997Z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